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raster"/>
        <w:tblW w:w="0" w:type="auto"/>
        <w:tblLook w:val="04A0" w:firstRow="1" w:lastRow="0" w:firstColumn="1" w:lastColumn="0" w:noHBand="0" w:noVBand="1"/>
      </w:tblPr>
      <w:tblGrid>
        <w:gridCol w:w="9062"/>
      </w:tblGrid>
      <w:tr w:rsidR="00C7607B" w:rsidTr="00C7607B">
        <w:tc>
          <w:tcPr>
            <w:tcW w:w="9062" w:type="dxa"/>
            <w:shd w:val="clear" w:color="auto" w:fill="C00000"/>
          </w:tcPr>
          <w:p w:rsidR="00C7607B" w:rsidRPr="00C7607B" w:rsidRDefault="00C7607B" w:rsidP="00C7607B">
            <w:pPr>
              <w:jc w:val="center"/>
              <w:rPr>
                <w:b/>
                <w:sz w:val="32"/>
              </w:rPr>
            </w:pPr>
            <w:r w:rsidRPr="00C7607B">
              <w:rPr>
                <w:b/>
                <w:sz w:val="32"/>
              </w:rPr>
              <w:t>BIJLAGE MET KAARTJES NODIG VOOR DE OPDRACHT MET HET CONTINUÜM.</w:t>
            </w:r>
          </w:p>
        </w:tc>
      </w:tr>
    </w:tbl>
    <w:p w:rsidR="00C7607B" w:rsidRDefault="00C7607B">
      <w:bookmarkStart w:id="0" w:name="_GoBack"/>
      <w:bookmarkEnd w:id="0"/>
    </w:p>
    <w:p w:rsidR="00C7607B" w:rsidRDefault="00C7607B"/>
    <w:tbl>
      <w:tblPr>
        <w:tblStyle w:val="Tabelraster"/>
        <w:tblW w:w="9043" w:type="dxa"/>
        <w:tblLook w:val="04A0" w:firstRow="1" w:lastRow="0" w:firstColumn="1" w:lastColumn="0" w:noHBand="0" w:noVBand="1"/>
      </w:tblPr>
      <w:tblGrid>
        <w:gridCol w:w="4508"/>
        <w:gridCol w:w="4535"/>
      </w:tblGrid>
      <w:tr w:rsidR="00C7607B" w:rsidRPr="00273CD7" w:rsidTr="0062213D">
        <w:trPr>
          <w:trHeight w:val="510"/>
        </w:trPr>
        <w:tc>
          <w:tcPr>
            <w:tcW w:w="4508" w:type="dxa"/>
            <w:vAlign w:val="center"/>
          </w:tcPr>
          <w:p w:rsidR="00C7607B" w:rsidRPr="002C7921" w:rsidRDefault="00C7607B" w:rsidP="0062213D">
            <w:pPr>
              <w:spacing w:before="180" w:after="180" w:line="276" w:lineRule="auto"/>
              <w:jc w:val="center"/>
            </w:pPr>
            <w:r w:rsidRPr="002C7921">
              <w:t>VOORKANT: ACTOREN</w:t>
            </w:r>
          </w:p>
        </w:tc>
        <w:tc>
          <w:tcPr>
            <w:tcW w:w="4535" w:type="dxa"/>
          </w:tcPr>
          <w:p w:rsidR="00C7607B" w:rsidRPr="002C7921" w:rsidRDefault="00C7607B" w:rsidP="0062213D">
            <w:pPr>
              <w:spacing w:before="180" w:after="180" w:line="276" w:lineRule="auto"/>
              <w:jc w:val="both"/>
            </w:pPr>
            <w:r w:rsidRPr="002C7921">
              <w:t>ACHTERKANT: INFO BIJ DE ACTOREN</w:t>
            </w:r>
          </w:p>
        </w:tc>
      </w:tr>
      <w:tr w:rsidR="00C7607B" w:rsidRPr="00273CD7" w:rsidTr="0062213D">
        <w:trPr>
          <w:trHeight w:val="510"/>
        </w:trPr>
        <w:tc>
          <w:tcPr>
            <w:tcW w:w="4508" w:type="dxa"/>
            <w:vAlign w:val="center"/>
          </w:tcPr>
          <w:p w:rsidR="00C7607B" w:rsidRDefault="00C7607B" w:rsidP="0062213D">
            <w:pPr>
              <w:spacing w:before="180" w:line="276" w:lineRule="auto"/>
              <w:jc w:val="center"/>
              <w:rPr>
                <w:sz w:val="32"/>
                <w:szCs w:val="32"/>
              </w:rPr>
            </w:pPr>
            <w:r w:rsidRPr="002C7921">
              <w:rPr>
                <w:sz w:val="32"/>
                <w:szCs w:val="32"/>
              </w:rPr>
              <w:t>De Belgische (federale)</w:t>
            </w:r>
          </w:p>
          <w:p w:rsidR="00C7607B" w:rsidRPr="002C7921" w:rsidRDefault="00C7607B" w:rsidP="0062213D">
            <w:pPr>
              <w:spacing w:after="180" w:line="276" w:lineRule="auto"/>
              <w:jc w:val="center"/>
              <w:rPr>
                <w:sz w:val="32"/>
                <w:szCs w:val="32"/>
              </w:rPr>
            </w:pPr>
            <w:r w:rsidRPr="002C7921">
              <w:rPr>
                <w:sz w:val="32"/>
                <w:szCs w:val="32"/>
              </w:rPr>
              <w:t>overheid</w:t>
            </w:r>
          </w:p>
          <w:p w:rsidR="00C7607B" w:rsidRPr="002C7921" w:rsidRDefault="00C7607B" w:rsidP="0062213D">
            <w:pPr>
              <w:spacing w:before="180" w:after="180" w:line="276" w:lineRule="auto"/>
              <w:jc w:val="center"/>
              <w:rPr>
                <w:sz w:val="32"/>
                <w:szCs w:val="32"/>
              </w:rPr>
            </w:pPr>
          </w:p>
        </w:tc>
        <w:tc>
          <w:tcPr>
            <w:tcW w:w="4535" w:type="dxa"/>
          </w:tcPr>
          <w:p w:rsidR="00C7607B" w:rsidRDefault="00C7607B" w:rsidP="0062213D">
            <w:pPr>
              <w:spacing w:before="180" w:after="180" w:line="276" w:lineRule="auto"/>
              <w:jc w:val="both"/>
            </w:pPr>
            <w:r>
              <w:t xml:space="preserve">In juli 2025 spannen verschillende Palestijnen en vzw’s een rechtszaak aan tegen de Belgische staat voor medeplichtigheid aan de genocide in Gaza. Volgens het internationaal recht is België immers verplicht om inspanningen te doen om genocide te stoppen.  </w:t>
            </w:r>
          </w:p>
        </w:tc>
      </w:tr>
      <w:tr w:rsidR="00C7607B" w:rsidRPr="00273CD7" w:rsidTr="0062213D">
        <w:trPr>
          <w:trHeight w:val="510"/>
        </w:trPr>
        <w:tc>
          <w:tcPr>
            <w:tcW w:w="4508" w:type="dxa"/>
            <w:vAlign w:val="center"/>
          </w:tcPr>
          <w:p w:rsidR="00C7607B" w:rsidRPr="002C7921" w:rsidRDefault="00C7607B" w:rsidP="0062213D">
            <w:pPr>
              <w:spacing w:before="180" w:after="180" w:line="276" w:lineRule="auto"/>
              <w:jc w:val="center"/>
              <w:rPr>
                <w:sz w:val="32"/>
                <w:szCs w:val="32"/>
              </w:rPr>
            </w:pPr>
            <w:r w:rsidRPr="002C7921">
              <w:rPr>
                <w:sz w:val="32"/>
                <w:szCs w:val="32"/>
              </w:rPr>
              <w:t>De Vlaamse regering</w:t>
            </w:r>
          </w:p>
        </w:tc>
        <w:tc>
          <w:tcPr>
            <w:tcW w:w="4535" w:type="dxa"/>
          </w:tcPr>
          <w:p w:rsidR="00C7607B" w:rsidRDefault="00C7607B" w:rsidP="0062213D">
            <w:pPr>
              <w:spacing w:before="180" w:after="180" w:line="276" w:lineRule="auto"/>
              <w:jc w:val="both"/>
            </w:pPr>
            <w:r>
              <w:t>Verschillende mensenrechtenorganisaties spanden een rechtszaak aan tegen de Vlaamse regering. Ze vonden dat de overheid te weinig deed om de doorvoer van wapens en andere defensiematerialen naar Israël, bijvoorbeeld via de haven van Antwerpen, te blokkeren.</w:t>
            </w:r>
          </w:p>
          <w:p w:rsidR="00C7607B" w:rsidRPr="00273CD7" w:rsidRDefault="00C7607B" w:rsidP="0062213D">
            <w:pPr>
              <w:spacing w:before="180" w:after="180" w:line="276" w:lineRule="auto"/>
              <w:jc w:val="both"/>
            </w:pPr>
            <w:r>
              <w:t xml:space="preserve">De rechter oordeelde dat de overheid meer moet doen om de inhoud van de containers te controleren. </w:t>
            </w:r>
          </w:p>
        </w:tc>
      </w:tr>
      <w:tr w:rsidR="00C7607B" w:rsidRPr="00273CD7" w:rsidTr="0062213D">
        <w:trPr>
          <w:trHeight w:val="510"/>
        </w:trPr>
        <w:tc>
          <w:tcPr>
            <w:tcW w:w="4508" w:type="dxa"/>
            <w:vAlign w:val="center"/>
          </w:tcPr>
          <w:p w:rsidR="00C7607B" w:rsidRPr="002C7921" w:rsidRDefault="00C7607B" w:rsidP="0062213D">
            <w:pPr>
              <w:spacing w:before="180" w:after="180" w:line="276" w:lineRule="auto"/>
              <w:jc w:val="center"/>
              <w:rPr>
                <w:sz w:val="32"/>
                <w:szCs w:val="32"/>
              </w:rPr>
            </w:pPr>
            <w:r w:rsidRPr="002C7921">
              <w:rPr>
                <w:sz w:val="32"/>
                <w:szCs w:val="32"/>
              </w:rPr>
              <w:t>Lockheed Martin</w:t>
            </w:r>
          </w:p>
        </w:tc>
        <w:tc>
          <w:tcPr>
            <w:tcW w:w="4535" w:type="dxa"/>
          </w:tcPr>
          <w:p w:rsidR="00C7607B" w:rsidRPr="00273CD7" w:rsidRDefault="00C7607B" w:rsidP="0062213D">
            <w:pPr>
              <w:spacing w:before="180" w:after="180" w:line="276" w:lineRule="auto"/>
              <w:jc w:val="both"/>
            </w:pPr>
            <w:r>
              <w:t xml:space="preserve">Lockheed Martin </w:t>
            </w:r>
            <w:r w:rsidRPr="00273CD7">
              <w:t>is een van de vele bedrijven die winst maak</w:t>
            </w:r>
            <w:r>
              <w:t>t door de genocide in Gaza. Zo levert Lockheed Martin gevechtsvliegtuigen die door Israël gebruikt worden om bombardementen uit te voeren in Gaza. Het bedrijf zei dat het trots was om zo’n grote rol te spelen in de veiligheid van Israël.</w:t>
            </w:r>
          </w:p>
        </w:tc>
      </w:tr>
    </w:tbl>
    <w:p w:rsidR="00C7607B" w:rsidRDefault="00C7607B">
      <w:r>
        <w:br w:type="page"/>
      </w:r>
    </w:p>
    <w:tbl>
      <w:tblPr>
        <w:tblStyle w:val="Tabelraster"/>
        <w:tblW w:w="9043" w:type="dxa"/>
        <w:tblLook w:val="04A0" w:firstRow="1" w:lastRow="0" w:firstColumn="1" w:lastColumn="0" w:noHBand="0" w:noVBand="1"/>
      </w:tblPr>
      <w:tblGrid>
        <w:gridCol w:w="4508"/>
        <w:gridCol w:w="4535"/>
      </w:tblGrid>
      <w:tr w:rsidR="00C7607B" w:rsidRPr="00273CD7" w:rsidTr="0062213D">
        <w:trPr>
          <w:trHeight w:val="510"/>
        </w:trPr>
        <w:tc>
          <w:tcPr>
            <w:tcW w:w="4508" w:type="dxa"/>
            <w:vAlign w:val="center"/>
          </w:tcPr>
          <w:p w:rsidR="00C7607B" w:rsidRPr="002C7921" w:rsidRDefault="00C7607B" w:rsidP="0062213D">
            <w:pPr>
              <w:spacing w:before="180" w:after="180" w:line="276" w:lineRule="auto"/>
              <w:jc w:val="center"/>
              <w:rPr>
                <w:sz w:val="32"/>
                <w:szCs w:val="32"/>
              </w:rPr>
            </w:pPr>
            <w:r w:rsidRPr="002C7921">
              <w:rPr>
                <w:sz w:val="32"/>
                <w:szCs w:val="32"/>
              </w:rPr>
              <w:lastRenderedPageBreak/>
              <w:t>Het Israëlische volk</w:t>
            </w:r>
          </w:p>
          <w:p w:rsidR="00C7607B" w:rsidRPr="002C7921" w:rsidRDefault="00C7607B" w:rsidP="0062213D">
            <w:pPr>
              <w:spacing w:before="180" w:after="180" w:line="276" w:lineRule="auto"/>
              <w:jc w:val="center"/>
              <w:rPr>
                <w:sz w:val="32"/>
                <w:szCs w:val="32"/>
              </w:rPr>
            </w:pPr>
          </w:p>
        </w:tc>
        <w:tc>
          <w:tcPr>
            <w:tcW w:w="4535" w:type="dxa"/>
          </w:tcPr>
          <w:p w:rsidR="00C7607B" w:rsidRDefault="00C7607B" w:rsidP="0062213D">
            <w:pPr>
              <w:spacing w:before="180" w:after="180" w:line="276" w:lineRule="auto"/>
              <w:jc w:val="both"/>
            </w:pPr>
            <w:r>
              <w:t xml:space="preserve">Een peiling in mei-april 2024 (toen de bestempeling als ‘genocide’ nog gecontesteerd was) toonde aan dat een meerderheid van de Israëli’s de daden van het Israëlische regime in Gaza steunde. </w:t>
            </w:r>
          </w:p>
          <w:p w:rsidR="00C7607B" w:rsidRPr="00273CD7" w:rsidRDefault="00C7607B" w:rsidP="0062213D">
            <w:pPr>
              <w:spacing w:before="180" w:after="180" w:line="276" w:lineRule="auto"/>
              <w:jc w:val="both"/>
            </w:pPr>
            <w:r>
              <w:t>Er zijn indicaties dat de steun onder het Israëlische volk voor de acties van haar overheid sterk afneemt.</w:t>
            </w:r>
          </w:p>
        </w:tc>
      </w:tr>
      <w:tr w:rsidR="00C7607B" w:rsidRPr="00273CD7" w:rsidTr="0062213D">
        <w:trPr>
          <w:trHeight w:val="737"/>
        </w:trPr>
        <w:tc>
          <w:tcPr>
            <w:tcW w:w="4508" w:type="dxa"/>
            <w:vAlign w:val="center"/>
          </w:tcPr>
          <w:p w:rsidR="00C7607B" w:rsidRPr="002C7921" w:rsidRDefault="00C7607B" w:rsidP="0062213D">
            <w:pPr>
              <w:spacing w:before="180" w:after="180" w:line="276" w:lineRule="auto"/>
              <w:jc w:val="center"/>
              <w:rPr>
                <w:sz w:val="32"/>
                <w:szCs w:val="32"/>
              </w:rPr>
            </w:pPr>
            <w:r w:rsidRPr="002C7921">
              <w:rPr>
                <w:sz w:val="32"/>
                <w:szCs w:val="32"/>
              </w:rPr>
              <w:t>Het Amerikaanse bestuur</w:t>
            </w:r>
          </w:p>
        </w:tc>
        <w:tc>
          <w:tcPr>
            <w:tcW w:w="4535" w:type="dxa"/>
          </w:tcPr>
          <w:p w:rsidR="00C7607B" w:rsidRDefault="00C7607B" w:rsidP="0062213D">
            <w:pPr>
              <w:spacing w:before="180" w:after="180" w:line="276" w:lineRule="auto"/>
              <w:jc w:val="both"/>
            </w:pPr>
            <w:r>
              <w:t xml:space="preserve">Het Amerikaanse regime, zowel onder president </w:t>
            </w:r>
            <w:proofErr w:type="spellStart"/>
            <w:r>
              <w:t>Biden</w:t>
            </w:r>
            <w:proofErr w:type="spellEnd"/>
            <w:r>
              <w:t xml:space="preserve"> als onder president </w:t>
            </w:r>
            <w:proofErr w:type="spellStart"/>
            <w:r>
              <w:t>Trump</w:t>
            </w:r>
            <w:proofErr w:type="spellEnd"/>
            <w:r>
              <w:t xml:space="preserve">, sprak meermaals zijn steun uit voor de Israëlische acties in Gaza. Het regime leverde ook financiële en militaire steun. </w:t>
            </w:r>
          </w:p>
          <w:p w:rsidR="00C7607B" w:rsidRDefault="00C7607B" w:rsidP="0062213D">
            <w:pPr>
              <w:spacing w:before="180" w:after="180" w:line="276" w:lineRule="auto"/>
              <w:jc w:val="both"/>
            </w:pPr>
            <w:r>
              <w:t>Pro-Palestijnse acties werden in de VS meermaals hardhandig neergeslagen.</w:t>
            </w:r>
          </w:p>
          <w:p w:rsidR="00C7607B" w:rsidRPr="00273CD7" w:rsidRDefault="00C7607B" w:rsidP="0062213D">
            <w:pPr>
              <w:spacing w:before="180" w:after="180" w:line="276" w:lineRule="auto"/>
              <w:jc w:val="both"/>
            </w:pPr>
            <w:r>
              <w:t>Ook landen zoals Duitsland en Nederland worden beschuldigd van medeplichtigheid, omdat ze meermaals hun steun voor Israël bevestigden en weigerden om sancties te nemen.</w:t>
            </w:r>
          </w:p>
        </w:tc>
      </w:tr>
      <w:tr w:rsidR="00C7607B" w:rsidRPr="00273CD7" w:rsidTr="0062213D">
        <w:trPr>
          <w:trHeight w:val="510"/>
        </w:trPr>
        <w:tc>
          <w:tcPr>
            <w:tcW w:w="4508" w:type="dxa"/>
            <w:vAlign w:val="center"/>
          </w:tcPr>
          <w:p w:rsidR="00C7607B" w:rsidRPr="002C7921" w:rsidRDefault="00C7607B" w:rsidP="0062213D">
            <w:pPr>
              <w:spacing w:before="180" w:after="180" w:line="276" w:lineRule="auto"/>
              <w:jc w:val="center"/>
              <w:rPr>
                <w:sz w:val="32"/>
                <w:szCs w:val="32"/>
              </w:rPr>
            </w:pPr>
            <w:r w:rsidRPr="002C7921">
              <w:rPr>
                <w:sz w:val="32"/>
                <w:szCs w:val="32"/>
              </w:rPr>
              <w:t>McDonalds</w:t>
            </w:r>
          </w:p>
        </w:tc>
        <w:tc>
          <w:tcPr>
            <w:tcW w:w="4535" w:type="dxa"/>
          </w:tcPr>
          <w:p w:rsidR="00C7607B" w:rsidRDefault="00C7607B" w:rsidP="0062213D">
            <w:pPr>
              <w:spacing w:before="180" w:after="180" w:line="276" w:lineRule="auto"/>
              <w:jc w:val="both"/>
            </w:pPr>
            <w:r>
              <w:t>McDonalds is één van de vele bedrijven (naast bv. Starbucks, Disney en Coca Cola) die het doelwit zijn van een boycot. McDonalds zou gratis maaltijden hebben gedoneerd aan het Israëlische leger, en winst maken door haar filialen in Israël.</w:t>
            </w:r>
          </w:p>
          <w:p w:rsidR="00C7607B" w:rsidRPr="00273CD7" w:rsidRDefault="00C7607B" w:rsidP="0062213D">
            <w:pPr>
              <w:spacing w:before="180" w:after="180" w:line="276" w:lineRule="auto"/>
              <w:jc w:val="both"/>
            </w:pPr>
            <w:r>
              <w:t>Actievoeders roepen dan ook op om niets meer bij deze bedrijven te kopen.</w:t>
            </w:r>
          </w:p>
        </w:tc>
      </w:tr>
    </w:tbl>
    <w:p w:rsidR="00C7607B" w:rsidRDefault="00C7607B">
      <w:r>
        <w:br w:type="page"/>
      </w:r>
    </w:p>
    <w:tbl>
      <w:tblPr>
        <w:tblStyle w:val="Tabelraster"/>
        <w:tblW w:w="9043" w:type="dxa"/>
        <w:tblLook w:val="04A0" w:firstRow="1" w:lastRow="0" w:firstColumn="1" w:lastColumn="0" w:noHBand="0" w:noVBand="1"/>
      </w:tblPr>
      <w:tblGrid>
        <w:gridCol w:w="4508"/>
        <w:gridCol w:w="4535"/>
      </w:tblGrid>
      <w:tr w:rsidR="00C7607B" w:rsidRPr="00775120" w:rsidTr="0062213D">
        <w:trPr>
          <w:trHeight w:val="510"/>
        </w:trPr>
        <w:tc>
          <w:tcPr>
            <w:tcW w:w="4508" w:type="dxa"/>
            <w:vAlign w:val="center"/>
          </w:tcPr>
          <w:p w:rsidR="00C7607B" w:rsidRPr="002C7921" w:rsidRDefault="00C7607B" w:rsidP="0062213D">
            <w:pPr>
              <w:spacing w:before="180" w:after="180" w:line="276" w:lineRule="auto"/>
              <w:jc w:val="center"/>
              <w:rPr>
                <w:sz w:val="32"/>
                <w:szCs w:val="32"/>
              </w:rPr>
            </w:pPr>
            <w:r w:rsidRPr="002C7921">
              <w:rPr>
                <w:sz w:val="32"/>
                <w:szCs w:val="32"/>
              </w:rPr>
              <w:lastRenderedPageBreak/>
              <w:t xml:space="preserve">Topambtenaren </w:t>
            </w:r>
            <w:r>
              <w:rPr>
                <w:sz w:val="32"/>
                <w:szCs w:val="32"/>
              </w:rPr>
              <w:br/>
            </w:r>
            <w:r w:rsidRPr="002C7921">
              <w:rPr>
                <w:sz w:val="32"/>
                <w:szCs w:val="32"/>
              </w:rPr>
              <w:t>van de Europese Unie</w:t>
            </w:r>
          </w:p>
        </w:tc>
        <w:tc>
          <w:tcPr>
            <w:tcW w:w="4535" w:type="dxa"/>
          </w:tcPr>
          <w:p w:rsidR="00C7607B" w:rsidRDefault="00C7607B" w:rsidP="0062213D">
            <w:pPr>
              <w:spacing w:before="180" w:after="180" w:line="276" w:lineRule="auto"/>
              <w:jc w:val="both"/>
              <w:rPr>
                <w:lang w:val="nl-NL"/>
              </w:rPr>
            </w:pPr>
            <w:r w:rsidRPr="006B74E1">
              <w:rPr>
                <w:lang w:val="nl-NL"/>
              </w:rPr>
              <w:t xml:space="preserve">In </w:t>
            </w:r>
            <w:r>
              <w:rPr>
                <w:lang w:val="nl-NL"/>
              </w:rPr>
              <w:t xml:space="preserve">mei 2024 </w:t>
            </w:r>
            <w:r w:rsidRPr="006B74E1">
              <w:rPr>
                <w:lang w:val="nl-NL"/>
              </w:rPr>
              <w:t xml:space="preserve">diende het </w:t>
            </w:r>
            <w:r w:rsidRPr="006B74E1">
              <w:t xml:space="preserve">Geneva International </w:t>
            </w:r>
            <w:proofErr w:type="spellStart"/>
            <w:r w:rsidRPr="006B74E1">
              <w:t>Peace</w:t>
            </w:r>
            <w:proofErr w:type="spellEnd"/>
            <w:r w:rsidRPr="006B74E1">
              <w:t xml:space="preserve"> Research </w:t>
            </w:r>
            <w:proofErr w:type="spellStart"/>
            <w:r w:rsidRPr="006B74E1">
              <w:t>Institute</w:t>
            </w:r>
            <w:proofErr w:type="spellEnd"/>
            <w:r>
              <w:t xml:space="preserve"> een klacht in </w:t>
            </w:r>
            <w:r>
              <w:rPr>
                <w:lang w:val="nl-NL"/>
              </w:rPr>
              <w:t xml:space="preserve">bij het </w:t>
            </w:r>
            <w:r w:rsidRPr="006B74E1">
              <w:rPr>
                <w:lang w:val="nl-NL"/>
              </w:rPr>
              <w:t>I</w:t>
            </w:r>
            <w:r>
              <w:rPr>
                <w:lang w:val="nl-NL"/>
              </w:rPr>
              <w:t xml:space="preserve">nternationaal Strafhof </w:t>
            </w:r>
            <w:r>
              <w:t xml:space="preserve">tegen de Europese commissievoorzitter </w:t>
            </w:r>
            <w:r>
              <w:rPr>
                <w:lang w:val="nl-NL"/>
              </w:rPr>
              <w:t>Ursula Von der Leyen. Volgens deze organisatie maakt Von der Leyens onvoorwaardelijke steun voor Israël haar medeplichtig aan oorlogsmisdaden en genocide in Gaza.</w:t>
            </w:r>
          </w:p>
          <w:p w:rsidR="00C7607B" w:rsidRPr="00775120" w:rsidRDefault="00C7607B" w:rsidP="0062213D">
            <w:pPr>
              <w:spacing w:before="180" w:after="180" w:line="276" w:lineRule="auto"/>
              <w:jc w:val="both"/>
              <w:rPr>
                <w:lang w:val="nl-NL"/>
              </w:rPr>
            </w:pPr>
            <w:r>
              <w:rPr>
                <w:lang w:val="nl-NL"/>
              </w:rPr>
              <w:t xml:space="preserve">Ook andere topambtenaren, zoals de </w:t>
            </w:r>
            <w:r w:rsidRPr="0089184B">
              <w:t xml:space="preserve">Hoge vertegenwoordiger van de </w:t>
            </w:r>
            <w:r>
              <w:rPr>
                <w:lang w:val="nl-NL"/>
              </w:rPr>
              <w:t xml:space="preserve">Europese </w:t>
            </w:r>
            <w:r w:rsidRPr="0089184B">
              <w:t>Unie voor Buitenlandse Zaken</w:t>
            </w:r>
            <w:r>
              <w:t xml:space="preserve"> </w:t>
            </w:r>
            <w:proofErr w:type="spellStart"/>
            <w:r>
              <w:rPr>
                <w:lang w:val="nl-NL"/>
              </w:rPr>
              <w:t>Kaja</w:t>
            </w:r>
            <w:proofErr w:type="spellEnd"/>
            <w:r>
              <w:rPr>
                <w:lang w:val="nl-NL"/>
              </w:rPr>
              <w:t xml:space="preserve"> </w:t>
            </w:r>
            <w:proofErr w:type="spellStart"/>
            <w:r>
              <w:rPr>
                <w:lang w:val="nl-NL"/>
              </w:rPr>
              <w:t>Kallas</w:t>
            </w:r>
            <w:proofErr w:type="spellEnd"/>
            <w:r>
              <w:rPr>
                <w:lang w:val="nl-NL"/>
              </w:rPr>
              <w:t xml:space="preserve"> worden beschuldigd van medeplichtigheid.</w:t>
            </w:r>
          </w:p>
        </w:tc>
      </w:tr>
      <w:tr w:rsidR="00C7607B" w:rsidRPr="00775120" w:rsidTr="0062213D">
        <w:trPr>
          <w:trHeight w:val="510"/>
        </w:trPr>
        <w:tc>
          <w:tcPr>
            <w:tcW w:w="4508" w:type="dxa"/>
            <w:vAlign w:val="center"/>
          </w:tcPr>
          <w:p w:rsidR="00C7607B" w:rsidRPr="002C7921" w:rsidRDefault="00C7607B" w:rsidP="0062213D">
            <w:pPr>
              <w:spacing w:before="180" w:after="180" w:line="276" w:lineRule="auto"/>
              <w:jc w:val="center"/>
              <w:rPr>
                <w:sz w:val="32"/>
                <w:szCs w:val="32"/>
              </w:rPr>
            </w:pPr>
            <w:r w:rsidRPr="002C7921">
              <w:rPr>
                <w:sz w:val="32"/>
                <w:szCs w:val="32"/>
              </w:rPr>
              <w:t>De Europese Unie</w:t>
            </w:r>
          </w:p>
        </w:tc>
        <w:tc>
          <w:tcPr>
            <w:tcW w:w="4535" w:type="dxa"/>
          </w:tcPr>
          <w:p w:rsidR="00C7607B" w:rsidRDefault="00C7607B" w:rsidP="0062213D">
            <w:pPr>
              <w:spacing w:before="180" w:after="180" w:line="276" w:lineRule="auto"/>
              <w:jc w:val="both"/>
              <w:rPr>
                <w:lang w:val="nl-NL"/>
              </w:rPr>
            </w:pPr>
            <w:r>
              <w:rPr>
                <w:lang w:val="nl-NL"/>
              </w:rPr>
              <w:t xml:space="preserve">Hoewel de Europese Unie humanitaire hulp levert in Gaza, bleven economische of militaire sancties tegen Israël, of een duidelijke veroordeling lang uit. </w:t>
            </w:r>
          </w:p>
          <w:p w:rsidR="00C7607B" w:rsidRPr="006B74E1" w:rsidRDefault="00C7607B" w:rsidP="0062213D">
            <w:pPr>
              <w:spacing w:before="180" w:after="180" w:line="276" w:lineRule="auto"/>
              <w:jc w:val="both"/>
              <w:rPr>
                <w:lang w:val="nl-NL"/>
              </w:rPr>
            </w:pPr>
            <w:r>
              <w:rPr>
                <w:lang w:val="nl-NL"/>
              </w:rPr>
              <w:t>Pas in september 2025 stemde de EU over een eerste reeks (beperkte) sancties tegen Israël.</w:t>
            </w:r>
          </w:p>
        </w:tc>
      </w:tr>
      <w:tr w:rsidR="00C7607B" w:rsidRPr="00273CD7" w:rsidTr="0062213D">
        <w:trPr>
          <w:trHeight w:val="510"/>
        </w:trPr>
        <w:tc>
          <w:tcPr>
            <w:tcW w:w="4508" w:type="dxa"/>
            <w:vAlign w:val="center"/>
          </w:tcPr>
          <w:p w:rsidR="00C7607B" w:rsidRPr="002C7921" w:rsidRDefault="00C7607B" w:rsidP="0062213D">
            <w:pPr>
              <w:spacing w:before="180" w:after="180" w:line="276" w:lineRule="auto"/>
              <w:jc w:val="center"/>
              <w:rPr>
                <w:sz w:val="32"/>
                <w:szCs w:val="32"/>
              </w:rPr>
            </w:pPr>
            <w:r w:rsidRPr="002C7921">
              <w:rPr>
                <w:sz w:val="32"/>
                <w:szCs w:val="32"/>
              </w:rPr>
              <w:t>BNP Paribas</w:t>
            </w:r>
          </w:p>
        </w:tc>
        <w:tc>
          <w:tcPr>
            <w:tcW w:w="4535" w:type="dxa"/>
          </w:tcPr>
          <w:p w:rsidR="00C7607B" w:rsidRDefault="00C7607B" w:rsidP="0062213D">
            <w:pPr>
              <w:spacing w:before="180" w:after="180" w:line="276" w:lineRule="auto"/>
              <w:jc w:val="both"/>
            </w:pPr>
            <w:r>
              <w:t xml:space="preserve">Deze bank investeerde meer dan 32 miljard dollar in bedrijven die actief zijn in de </w:t>
            </w:r>
            <w:r w:rsidRPr="006547BD">
              <w:t>Israëlische nederzettingen</w:t>
            </w:r>
            <w:r>
              <w:t>, de</w:t>
            </w:r>
            <w:r w:rsidRPr="006547BD">
              <w:t xml:space="preserve"> industrie en de oorlog in Gaza. </w:t>
            </w:r>
          </w:p>
          <w:p w:rsidR="00C7607B" w:rsidRPr="00273CD7" w:rsidRDefault="00C7607B" w:rsidP="0062213D">
            <w:pPr>
              <w:spacing w:before="180" w:after="180" w:line="276" w:lineRule="auto"/>
              <w:jc w:val="both"/>
            </w:pPr>
            <w:r>
              <w:t>Ook andere banken die actief zijn in België blijven investeren in bedrijven die bijdragen aan de genocide, bijvoorbeeld via wapenleveringen.</w:t>
            </w:r>
          </w:p>
        </w:tc>
      </w:tr>
      <w:tr w:rsidR="00C7607B" w:rsidRPr="00273CD7" w:rsidTr="0062213D">
        <w:trPr>
          <w:trHeight w:val="510"/>
        </w:trPr>
        <w:tc>
          <w:tcPr>
            <w:tcW w:w="4508" w:type="dxa"/>
            <w:vAlign w:val="center"/>
          </w:tcPr>
          <w:p w:rsidR="00C7607B" w:rsidRPr="002C7921" w:rsidRDefault="00C7607B" w:rsidP="0062213D">
            <w:pPr>
              <w:spacing w:before="180" w:after="180" w:line="276" w:lineRule="auto"/>
              <w:jc w:val="center"/>
              <w:rPr>
                <w:sz w:val="32"/>
                <w:szCs w:val="32"/>
              </w:rPr>
            </w:pPr>
            <w:r w:rsidRPr="002C7921">
              <w:rPr>
                <w:sz w:val="32"/>
                <w:szCs w:val="32"/>
              </w:rPr>
              <w:t>De stad Gent</w:t>
            </w:r>
          </w:p>
        </w:tc>
        <w:tc>
          <w:tcPr>
            <w:tcW w:w="4535" w:type="dxa"/>
          </w:tcPr>
          <w:p w:rsidR="00C7607B" w:rsidRDefault="00C7607B" w:rsidP="0062213D">
            <w:pPr>
              <w:spacing w:before="180" w:after="180" w:line="276" w:lineRule="auto"/>
              <w:jc w:val="both"/>
            </w:pPr>
            <w:r>
              <w:t>Het Gentse stadsbestuur had in 2025 verschillende contracten lopen bij Israëlische softwarebedrijven, onder andere voor camera’s. Deze bedrijven testten hun producten onder meer uit in bezette Palestijnse gebieden en leveren ook materiaal aan het Israëlische leger.</w:t>
            </w:r>
          </w:p>
          <w:p w:rsidR="00C7607B" w:rsidRDefault="00C7607B" w:rsidP="0062213D">
            <w:pPr>
              <w:spacing w:before="180" w:after="180" w:line="276" w:lineRule="auto"/>
              <w:jc w:val="both"/>
            </w:pPr>
            <w:r>
              <w:t>De contracten werden ondertussen herzien.</w:t>
            </w:r>
          </w:p>
        </w:tc>
      </w:tr>
    </w:tbl>
    <w:p w:rsidR="00C7607B" w:rsidRDefault="00C7607B"/>
    <w:sectPr w:rsidR="00C760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8EA"/>
    <w:rsid w:val="00221BD5"/>
    <w:rsid w:val="00C7607B"/>
    <w:rsid w:val="00D708E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14CF27-03CB-4951-BBDE-C065BDB2F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708E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708EA"/>
    <w:pPr>
      <w:ind w:left="720"/>
      <w:contextualSpacing/>
    </w:pPr>
    <w:rPr>
      <w:rFonts w:ascii="Calibri" w:eastAsia="Calibri" w:hAnsi="Calibri" w:cs="Calibri"/>
      <w:lang w:eastAsia="nl-BE"/>
    </w:rPr>
  </w:style>
  <w:style w:type="table" w:styleId="Tabelraster">
    <w:name w:val="Table Grid"/>
    <w:basedOn w:val="Standaardtabel"/>
    <w:uiPriority w:val="39"/>
    <w:rsid w:val="00D708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14EFAB48BED54B8C96562ADA60309B" ma:contentTypeVersion="18" ma:contentTypeDescription="Create a new document." ma:contentTypeScope="" ma:versionID="de665f0ada32f221ac0e95781f46574c">
  <xsd:schema xmlns:xsd="http://www.w3.org/2001/XMLSchema" xmlns:xs="http://www.w3.org/2001/XMLSchema" xmlns:p="http://schemas.microsoft.com/office/2006/metadata/properties" xmlns:ns2="c2a6df4e-4bb5-4edf-be4a-544efd78b3c2" xmlns:ns3="5e40aeda-8759-44eb-9a5a-39b5ea474412" xmlns:ns4="9043eea9-c6a2-41bd-a216-33d45f9f09e1" targetNamespace="http://schemas.microsoft.com/office/2006/metadata/properties" ma:root="true" ma:fieldsID="1e77214fb01e80b2aa63346321ff457b" ns2:_="" ns3:_="" ns4:_="">
    <xsd:import namespace="c2a6df4e-4bb5-4edf-be4a-544efd78b3c2"/>
    <xsd:import namespace="5e40aeda-8759-44eb-9a5a-39b5ea474412"/>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4:TaxCatchAll"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a6df4e-4bb5-4edf-be4a-544efd78b3c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40aeda-8759-44eb-9a5a-39b5ea47441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ced821e-3719-4d89-b7d3-d96e4ea12e44}" ma:internalName="TaxCatchAll" ma:showField="CatchAllData" ma:web="5e40aeda-8759-44eb-9a5a-39b5ea474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2a6df4e-4bb5-4edf-be4a-544efd78b3c2">
      <Terms xmlns="http://schemas.microsoft.com/office/infopath/2007/PartnerControls"/>
    </lcf76f155ced4ddcb4097134ff3c332f>
    <TaxCatchAll xmlns="9043eea9-c6a2-41bd-a216-33d45f9f09e1" xsi:nil="true"/>
  </documentManagement>
</p:properties>
</file>

<file path=customXml/itemProps1.xml><?xml version="1.0" encoding="utf-8"?>
<ds:datastoreItem xmlns:ds="http://schemas.openxmlformats.org/officeDocument/2006/customXml" ds:itemID="{7746FB61-0B48-41B8-8978-7244BA9C7563}"/>
</file>

<file path=customXml/itemProps2.xml><?xml version="1.0" encoding="utf-8"?>
<ds:datastoreItem xmlns:ds="http://schemas.openxmlformats.org/officeDocument/2006/customXml" ds:itemID="{277BF68F-AF64-4C6A-AC2B-2CE538931959}"/>
</file>

<file path=customXml/itemProps3.xml><?xml version="1.0" encoding="utf-8"?>
<ds:datastoreItem xmlns:ds="http://schemas.openxmlformats.org/officeDocument/2006/customXml" ds:itemID="{77044E06-D0B4-4A8F-8DEE-56637458CEFA}"/>
</file>

<file path=docProps/app.xml><?xml version="1.0" encoding="utf-8"?>
<Properties xmlns="http://schemas.openxmlformats.org/officeDocument/2006/extended-properties" xmlns:vt="http://schemas.openxmlformats.org/officeDocument/2006/docPropsVTypes">
  <Template>Normal</Template>
  <TotalTime>2</TotalTime>
  <Pages>3</Pages>
  <Words>556</Words>
  <Characters>3063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dc:creator>
  <cp:keywords/>
  <dc:description/>
  <cp:lastModifiedBy>Cynthia</cp:lastModifiedBy>
  <cp:revision>1</cp:revision>
  <dcterms:created xsi:type="dcterms:W3CDTF">2025-10-06T16:29:00Z</dcterms:created>
  <dcterms:modified xsi:type="dcterms:W3CDTF">2025-10-06T16:42:00Z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0x0101009514EFAB48BED54B8C96562ADA60309B</vt:lpwstr>
  </property>
</Properties>
</file>