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11199" w:type="dxa"/>
        <w:tblInd w:w="-998" w:type="dxa"/>
        <w:shd w:val="clear" w:color="auto" w:fill="C00000"/>
        <w:tblLook w:val="04A0" w:firstRow="1" w:lastRow="0" w:firstColumn="1" w:lastColumn="0" w:noHBand="0" w:noVBand="1"/>
      </w:tblPr>
      <w:tblGrid>
        <w:gridCol w:w="11199"/>
      </w:tblGrid>
      <w:tr w:rsidR="00A07BAE" w14:paraId="0377CAA2" w14:textId="77777777" w:rsidTr="00CD052C">
        <w:tc>
          <w:tcPr>
            <w:tcW w:w="11199" w:type="dxa"/>
            <w:shd w:val="clear" w:color="auto" w:fill="C00000"/>
          </w:tcPr>
          <w:p w14:paraId="0BC43F88" w14:textId="77777777" w:rsidR="00A07BAE" w:rsidRDefault="00A07BAE" w:rsidP="00CD052C">
            <w:pPr>
              <w:jc w:val="center"/>
              <w:rPr>
                <w:b/>
                <w:sz w:val="28"/>
              </w:rPr>
            </w:pPr>
            <w:bookmarkStart w:id="0" w:name="_GoBack"/>
            <w:bookmarkEnd w:id="0"/>
            <w:r>
              <w:rPr>
                <w:b/>
                <w:sz w:val="28"/>
              </w:rPr>
              <w:t xml:space="preserve">Bijlage: Verbetermodel bij de opdracht </w:t>
            </w:r>
          </w:p>
          <w:p w14:paraId="5309443A" w14:textId="51C331DB" w:rsidR="00A07BAE" w:rsidRPr="00CD052C" w:rsidRDefault="00A07BAE" w:rsidP="00CD052C">
            <w:pPr>
              <w:jc w:val="center"/>
              <w:rPr>
                <w:b/>
                <w:sz w:val="28"/>
              </w:rPr>
            </w:pPr>
            <w:r>
              <w:rPr>
                <w:b/>
                <w:sz w:val="28"/>
              </w:rPr>
              <w:t>“h</w:t>
            </w:r>
            <w:r w:rsidRPr="00CD052C">
              <w:rPr>
                <w:b/>
                <w:sz w:val="28"/>
              </w:rPr>
              <w:t>et evoluerend perspectief rond het begrip ‘genocide’ in Gaza.</w:t>
            </w:r>
            <w:r>
              <w:rPr>
                <w:b/>
                <w:sz w:val="28"/>
              </w:rPr>
              <w:t>”</w:t>
            </w:r>
          </w:p>
          <w:p w14:paraId="18294CE6" w14:textId="77777777" w:rsidR="00A07BAE" w:rsidRDefault="00A07BAE" w:rsidP="001A04BA">
            <w:pPr>
              <w:jc w:val="both"/>
              <w:rPr>
                <w:b/>
              </w:rPr>
            </w:pPr>
          </w:p>
        </w:tc>
      </w:tr>
    </w:tbl>
    <w:p w14:paraId="44B96432" w14:textId="77777777" w:rsidR="00430DC3" w:rsidRDefault="00430DC3" w:rsidP="001A04BA">
      <w:pPr>
        <w:jc w:val="both"/>
      </w:pPr>
    </w:p>
    <w:p w14:paraId="1745A809" w14:textId="77777777" w:rsidR="00430DC3" w:rsidRDefault="00430DC3" w:rsidP="001A04BA">
      <w:pPr>
        <w:pStyle w:val="Lijstalinea"/>
        <w:numPr>
          <w:ilvl w:val="0"/>
          <w:numId w:val="1"/>
        </w:numPr>
        <w:jc w:val="both"/>
      </w:pPr>
      <w:r>
        <w:t xml:space="preserve">Verdeel de klas in groepen </w:t>
      </w:r>
      <w:r w:rsidR="00137E3F">
        <w:t xml:space="preserve">volgens de expertenmethode </w:t>
      </w:r>
      <w:r>
        <w:t xml:space="preserve">en geef elke groep één krantenartikel. </w:t>
      </w:r>
      <w:r w:rsidR="001B1229">
        <w:t>Hieronder een aantal suggesties. Uiteraard staat het je als leerkracht vrij andere artikels te kiezen of toe te voegen.</w:t>
      </w:r>
    </w:p>
    <w:p w14:paraId="664C1AE3" w14:textId="77777777" w:rsidR="001B1229" w:rsidRDefault="001B1229" w:rsidP="001A04BA">
      <w:pPr>
        <w:pStyle w:val="Lijstalinea"/>
        <w:jc w:val="both"/>
      </w:pPr>
    </w:p>
    <w:p w14:paraId="10B06A75" w14:textId="77777777" w:rsidR="001B1229" w:rsidRDefault="001B1229" w:rsidP="001A04BA">
      <w:pPr>
        <w:pStyle w:val="Lijstalinea"/>
        <w:numPr>
          <w:ilvl w:val="0"/>
          <w:numId w:val="3"/>
        </w:numPr>
        <w:jc w:val="both"/>
      </w:pPr>
      <w:r>
        <w:t xml:space="preserve"> </w:t>
      </w:r>
      <w:hyperlink r:id="rId7" w:history="1">
        <w:r w:rsidRPr="00A50551">
          <w:rPr>
            <w:rStyle w:val="Hyperlink"/>
          </w:rPr>
          <w:t>https://www.vrt.be/vrtnws/nl/2023/11/26/kijkers-stellen-vragen-aan-premier-de-croo/</w:t>
        </w:r>
      </w:hyperlink>
    </w:p>
    <w:p w14:paraId="5AF0C4DF" w14:textId="77777777" w:rsidR="001B1229" w:rsidRPr="001B1229" w:rsidRDefault="008D5DED" w:rsidP="001A04BA">
      <w:pPr>
        <w:pStyle w:val="Lijstalinea"/>
        <w:numPr>
          <w:ilvl w:val="0"/>
          <w:numId w:val="3"/>
        </w:numPr>
        <w:jc w:val="both"/>
        <w:rPr>
          <w:rStyle w:val="Hyperlink"/>
          <w:color w:val="auto"/>
          <w:u w:val="none"/>
        </w:rPr>
      </w:pPr>
      <w:hyperlink r:id="rId8" w:history="1">
        <w:r w:rsidR="001B1229" w:rsidRPr="001B1229">
          <w:rPr>
            <w:rStyle w:val="Hyperlink"/>
            <w:rFonts w:cstheme="minorHAnsi"/>
          </w:rPr>
          <w:t>https://over.nos.nl/nieuws/waarom-en-wanneer-de-nos-spreekt-van-genocidaal-geweld-in-gaza/</w:t>
        </w:r>
      </w:hyperlink>
    </w:p>
    <w:p w14:paraId="61BD8BF5" w14:textId="77777777" w:rsidR="001B1229" w:rsidRPr="001B1229" w:rsidRDefault="008D5DED" w:rsidP="001A04BA">
      <w:pPr>
        <w:pStyle w:val="Lijstalinea"/>
        <w:numPr>
          <w:ilvl w:val="0"/>
          <w:numId w:val="3"/>
        </w:numPr>
        <w:jc w:val="both"/>
        <w:rPr>
          <w:rStyle w:val="Hyperlink"/>
          <w:color w:val="auto"/>
          <w:u w:val="none"/>
        </w:rPr>
      </w:pPr>
      <w:hyperlink r:id="rId9" w:history="1">
        <w:r w:rsidR="001B1229" w:rsidRPr="00270F77">
          <w:rPr>
            <w:rStyle w:val="Hyperlink"/>
          </w:rPr>
          <w:t>https://www.nytimes.com/2025/07/15/opinion/israel-gaza-holocaust-genocide-palestinians.html</w:t>
        </w:r>
      </w:hyperlink>
      <w:r w:rsidR="004209B6">
        <w:rPr>
          <w:rStyle w:val="Hyperlink"/>
        </w:rPr>
        <w:t xml:space="preserve"> </w:t>
      </w:r>
    </w:p>
    <w:p w14:paraId="3FAF13E4" w14:textId="77777777" w:rsidR="001B1229" w:rsidRDefault="001B1229" w:rsidP="001A04BA">
      <w:pPr>
        <w:pStyle w:val="Lijstalinea"/>
        <w:jc w:val="both"/>
      </w:pPr>
    </w:p>
    <w:p w14:paraId="3A9ADC28" w14:textId="77777777" w:rsidR="00430DC3" w:rsidRDefault="00430DC3" w:rsidP="001A04BA">
      <w:pPr>
        <w:pStyle w:val="Lijstalinea"/>
        <w:numPr>
          <w:ilvl w:val="0"/>
          <w:numId w:val="1"/>
        </w:numPr>
        <w:jc w:val="both"/>
      </w:pPr>
      <w:r>
        <w:t>Elke groep beantwoordt de volgende vragen voor het ontvangen krantenartikel:</w:t>
      </w:r>
    </w:p>
    <w:p w14:paraId="61FCCB90" w14:textId="77777777" w:rsidR="00430DC3" w:rsidRDefault="00137E3F" w:rsidP="001A04BA">
      <w:pPr>
        <w:pStyle w:val="Lijstalinea"/>
        <w:numPr>
          <w:ilvl w:val="0"/>
          <w:numId w:val="2"/>
        </w:numPr>
        <w:jc w:val="both"/>
      </w:pPr>
      <w:r>
        <w:t>Wiens visie over het begrip ‘genocide’ in de oorlog tussen Israël en Gaza wordt weergegeven?</w:t>
      </w:r>
    </w:p>
    <w:p w14:paraId="3A1A35C5" w14:textId="77777777" w:rsidR="00137E3F" w:rsidRDefault="00137E3F" w:rsidP="001A04BA">
      <w:pPr>
        <w:pStyle w:val="Lijstalinea"/>
        <w:numPr>
          <w:ilvl w:val="0"/>
          <w:numId w:val="2"/>
        </w:numPr>
        <w:jc w:val="both"/>
      </w:pPr>
      <w:r>
        <w:t xml:space="preserve">Wat is de functie van die persoon? Wat is zijn/haar standplaatsgebondenheid? </w:t>
      </w:r>
    </w:p>
    <w:p w14:paraId="1A8D93F8" w14:textId="77777777" w:rsidR="00137E3F" w:rsidRDefault="00137E3F" w:rsidP="001A04BA">
      <w:pPr>
        <w:pStyle w:val="Lijstalinea"/>
        <w:numPr>
          <w:ilvl w:val="0"/>
          <w:numId w:val="2"/>
        </w:numPr>
        <w:jc w:val="both"/>
      </w:pPr>
      <w:r>
        <w:t xml:space="preserve">Wat is zijn/haar standpunt over het begrip ‘genocide’ in de oorlog tussen Israël en Gaza?  </w:t>
      </w:r>
    </w:p>
    <w:p w14:paraId="44725CEC" w14:textId="77777777" w:rsidR="00137E3F" w:rsidRDefault="00137E3F" w:rsidP="001A04BA">
      <w:pPr>
        <w:pStyle w:val="Lijstalinea"/>
        <w:numPr>
          <w:ilvl w:val="0"/>
          <w:numId w:val="2"/>
        </w:numPr>
        <w:jc w:val="both"/>
      </w:pPr>
      <w:r>
        <w:t>Welke argumenten brengt hij/zij hiertoe aan?</w:t>
      </w:r>
    </w:p>
    <w:p w14:paraId="72639CAD" w14:textId="77777777" w:rsidR="00137E3F" w:rsidRDefault="00137E3F" w:rsidP="001A04BA">
      <w:pPr>
        <w:pStyle w:val="Lijstalinea"/>
        <w:numPr>
          <w:ilvl w:val="0"/>
          <w:numId w:val="2"/>
        </w:numPr>
        <w:jc w:val="both"/>
      </w:pPr>
      <w:r>
        <w:t>Speelt de standplaatsgebondenheid van de persoon een rol in zijn/haar visie?</w:t>
      </w:r>
    </w:p>
    <w:p w14:paraId="727E9BF8" w14:textId="77777777" w:rsidR="00137E3F" w:rsidRDefault="00137E3F" w:rsidP="001A04BA">
      <w:pPr>
        <w:pStyle w:val="Lijstalinea"/>
        <w:jc w:val="both"/>
      </w:pPr>
      <w:r>
        <w:t>De leerlingen vullen hiertoe de tabel in.</w:t>
      </w:r>
    </w:p>
    <w:p w14:paraId="7E32747F" w14:textId="77777777" w:rsidR="00137E3F" w:rsidRDefault="00137E3F" w:rsidP="001A04BA">
      <w:pPr>
        <w:pStyle w:val="Lijstalinea"/>
        <w:jc w:val="both"/>
      </w:pPr>
    </w:p>
    <w:p w14:paraId="70AC32A1" w14:textId="77777777" w:rsidR="00137E3F" w:rsidRDefault="00137E3F" w:rsidP="001A04BA">
      <w:pPr>
        <w:pStyle w:val="Lijstalinea"/>
        <w:numPr>
          <w:ilvl w:val="0"/>
          <w:numId w:val="1"/>
        </w:numPr>
        <w:jc w:val="both"/>
      </w:pPr>
      <w:r>
        <w:t>Maak nadien nieuwe groepen zodat ‘elk artikel’ vertegenwoordigd wordt en de tabel verder aangevuld kan worden.</w:t>
      </w:r>
    </w:p>
    <w:p w14:paraId="191F4C7E" w14:textId="77777777" w:rsidR="00137E3F" w:rsidRDefault="00137E3F" w:rsidP="001A04BA">
      <w:pPr>
        <w:jc w:val="both"/>
      </w:pPr>
    </w:p>
    <w:tbl>
      <w:tblPr>
        <w:tblStyle w:val="Tabelraster"/>
        <w:tblW w:w="11199" w:type="dxa"/>
        <w:tblInd w:w="-998" w:type="dxa"/>
        <w:tblLayout w:type="fixed"/>
        <w:tblLook w:val="04A0" w:firstRow="1" w:lastRow="0" w:firstColumn="1" w:lastColumn="0" w:noHBand="0" w:noVBand="1"/>
      </w:tblPr>
      <w:tblGrid>
        <w:gridCol w:w="1709"/>
        <w:gridCol w:w="2119"/>
        <w:gridCol w:w="2127"/>
        <w:gridCol w:w="2409"/>
        <w:gridCol w:w="2835"/>
      </w:tblGrid>
      <w:tr w:rsidR="009B1AC7" w14:paraId="38DE6A25" w14:textId="77777777" w:rsidTr="00D82D0F">
        <w:tc>
          <w:tcPr>
            <w:tcW w:w="1709" w:type="dxa"/>
          </w:tcPr>
          <w:p w14:paraId="60C636F1" w14:textId="77777777" w:rsidR="009B1AC7" w:rsidRPr="009B1AC7" w:rsidRDefault="009B1AC7" w:rsidP="001A04BA">
            <w:pPr>
              <w:jc w:val="both"/>
              <w:rPr>
                <w:b/>
              </w:rPr>
            </w:pPr>
            <w:r w:rsidRPr="009B1AC7">
              <w:rPr>
                <w:b/>
              </w:rPr>
              <w:t>Wie?</w:t>
            </w:r>
          </w:p>
        </w:tc>
        <w:tc>
          <w:tcPr>
            <w:tcW w:w="2119" w:type="dxa"/>
          </w:tcPr>
          <w:p w14:paraId="2F36AC18" w14:textId="77777777" w:rsidR="009B1AC7" w:rsidRPr="009B1AC7" w:rsidRDefault="009B1AC7" w:rsidP="001A04BA">
            <w:pPr>
              <w:jc w:val="both"/>
              <w:rPr>
                <w:b/>
              </w:rPr>
            </w:pPr>
            <w:r w:rsidRPr="009B1AC7">
              <w:rPr>
                <w:b/>
              </w:rPr>
              <w:t>Functie/standplaatsgebondenheid</w:t>
            </w:r>
          </w:p>
        </w:tc>
        <w:tc>
          <w:tcPr>
            <w:tcW w:w="2127" w:type="dxa"/>
          </w:tcPr>
          <w:p w14:paraId="5F74E7D0" w14:textId="77777777" w:rsidR="009B1AC7" w:rsidRPr="009B1AC7" w:rsidRDefault="009B1AC7" w:rsidP="001A04BA">
            <w:pPr>
              <w:jc w:val="both"/>
              <w:rPr>
                <w:b/>
              </w:rPr>
            </w:pPr>
            <w:r w:rsidRPr="009B1AC7">
              <w:rPr>
                <w:b/>
              </w:rPr>
              <w:t>Standpunt</w:t>
            </w:r>
          </w:p>
        </w:tc>
        <w:tc>
          <w:tcPr>
            <w:tcW w:w="2409" w:type="dxa"/>
          </w:tcPr>
          <w:p w14:paraId="22EE0143" w14:textId="77777777" w:rsidR="009B1AC7" w:rsidRPr="009B1AC7" w:rsidRDefault="009B1AC7" w:rsidP="001A04BA">
            <w:pPr>
              <w:jc w:val="both"/>
              <w:rPr>
                <w:b/>
              </w:rPr>
            </w:pPr>
            <w:r w:rsidRPr="009B1AC7">
              <w:rPr>
                <w:b/>
              </w:rPr>
              <w:t>Argumenten</w:t>
            </w:r>
          </w:p>
        </w:tc>
        <w:tc>
          <w:tcPr>
            <w:tcW w:w="2835" w:type="dxa"/>
          </w:tcPr>
          <w:p w14:paraId="1FB333FE" w14:textId="699C4D2D" w:rsidR="009B1AC7" w:rsidRPr="009B1AC7" w:rsidRDefault="009B1AC7" w:rsidP="001A04BA">
            <w:pPr>
              <w:jc w:val="both"/>
              <w:rPr>
                <w:b/>
              </w:rPr>
            </w:pPr>
            <w:r w:rsidRPr="009B1AC7">
              <w:rPr>
                <w:b/>
              </w:rPr>
              <w:t>Beïnvloed</w:t>
            </w:r>
            <w:r w:rsidR="00611EEB">
              <w:rPr>
                <w:b/>
              </w:rPr>
              <w:t>t</w:t>
            </w:r>
            <w:r w:rsidRPr="009B1AC7">
              <w:rPr>
                <w:b/>
              </w:rPr>
              <w:t xml:space="preserve"> de standplaatsgebondenheid de visie?</w:t>
            </w:r>
          </w:p>
        </w:tc>
      </w:tr>
      <w:tr w:rsidR="009B1AC7" w14:paraId="1EFAD5B7" w14:textId="77777777" w:rsidTr="00D82D0F">
        <w:tc>
          <w:tcPr>
            <w:tcW w:w="1709" w:type="dxa"/>
          </w:tcPr>
          <w:p w14:paraId="479AE33C" w14:textId="77777777" w:rsidR="009B1AC7" w:rsidRDefault="009B1AC7" w:rsidP="001A04BA">
            <w:pPr>
              <w:jc w:val="both"/>
            </w:pPr>
            <w:r>
              <w:t xml:space="preserve">Alexander De Croo </w:t>
            </w:r>
          </w:p>
        </w:tc>
        <w:tc>
          <w:tcPr>
            <w:tcW w:w="2119" w:type="dxa"/>
          </w:tcPr>
          <w:p w14:paraId="1C0C4DD0" w14:textId="77777777" w:rsidR="009B1AC7" w:rsidRDefault="009B1AC7" w:rsidP="001A04BA">
            <w:pPr>
              <w:jc w:val="both"/>
            </w:pPr>
            <w:r>
              <w:t>Belgische premier</w:t>
            </w:r>
          </w:p>
        </w:tc>
        <w:tc>
          <w:tcPr>
            <w:tcW w:w="2127" w:type="dxa"/>
          </w:tcPr>
          <w:p w14:paraId="1F11F650" w14:textId="77777777" w:rsidR="009B1AC7" w:rsidRDefault="009B1AC7" w:rsidP="001A04BA">
            <w:pPr>
              <w:jc w:val="both"/>
            </w:pPr>
            <w:r>
              <w:t>Voorzichtig, het is geen genocide, diplomatisch</w:t>
            </w:r>
          </w:p>
        </w:tc>
        <w:tc>
          <w:tcPr>
            <w:tcW w:w="2409" w:type="dxa"/>
          </w:tcPr>
          <w:p w14:paraId="0F23150F" w14:textId="77777777" w:rsidR="009B1AC7" w:rsidRDefault="001B1229" w:rsidP="001A04BA">
            <w:pPr>
              <w:jc w:val="both"/>
            </w:pPr>
            <w:r>
              <w:t>Israël heeft het recht zich te verdedigen tegen terrorisme, er is geen ‘intentie’ tot genocide</w:t>
            </w:r>
          </w:p>
        </w:tc>
        <w:tc>
          <w:tcPr>
            <w:tcW w:w="2835" w:type="dxa"/>
          </w:tcPr>
          <w:p w14:paraId="4FEBAA8D" w14:textId="77777777" w:rsidR="009B1AC7" w:rsidRDefault="009B1AC7" w:rsidP="001A04BA">
            <w:pPr>
              <w:jc w:val="both"/>
            </w:pPr>
            <w:r>
              <w:t xml:space="preserve">Ja, als premier wil hij </w:t>
            </w:r>
            <w:r w:rsidR="001B1229">
              <w:t>rekening houden met diplomatie.</w:t>
            </w:r>
          </w:p>
        </w:tc>
      </w:tr>
      <w:tr w:rsidR="009B1AC7" w14:paraId="43443E1A" w14:textId="77777777" w:rsidTr="00D82D0F">
        <w:tc>
          <w:tcPr>
            <w:tcW w:w="1709" w:type="dxa"/>
          </w:tcPr>
          <w:p w14:paraId="17E595F0" w14:textId="77777777" w:rsidR="009B1AC7" w:rsidRDefault="009B1AC7" w:rsidP="001A04BA">
            <w:pPr>
              <w:jc w:val="both"/>
            </w:pPr>
            <w:r>
              <w:t>Omer Bartov</w:t>
            </w:r>
          </w:p>
        </w:tc>
        <w:tc>
          <w:tcPr>
            <w:tcW w:w="2119" w:type="dxa"/>
          </w:tcPr>
          <w:p w14:paraId="5DB5E477" w14:textId="77777777" w:rsidR="009B1AC7" w:rsidRDefault="009B1AC7" w:rsidP="001A04BA">
            <w:pPr>
              <w:jc w:val="both"/>
            </w:pPr>
            <w:r>
              <w:t>Holocaust-expert</w:t>
            </w:r>
          </w:p>
          <w:p w14:paraId="260A7FA0" w14:textId="77777777" w:rsidR="00D82D0F" w:rsidRDefault="009B1AC7" w:rsidP="001A04BA">
            <w:pPr>
              <w:jc w:val="both"/>
            </w:pPr>
            <w:r>
              <w:t>Israëlisch-Amerikaans</w:t>
            </w:r>
            <w:r w:rsidR="00D82D0F">
              <w:t>,</w:t>
            </w:r>
          </w:p>
          <w:p w14:paraId="7BCEE128" w14:textId="77777777" w:rsidR="009B1AC7" w:rsidRDefault="00D82D0F" w:rsidP="001A04BA">
            <w:pPr>
              <w:jc w:val="both"/>
            </w:pPr>
            <w:r>
              <w:t xml:space="preserve">Bartov is een gerenommeerde academicus die al meer dan twintig jaar onderzoek doet naar massaal geweld en etnische zuiveringen. Hij groeide op in een Zionistisch gezin, diende in het Israëlische leger, en </w:t>
            </w:r>
            <w:r>
              <w:lastRenderedPageBreak/>
              <w:t>heeft zijn hele carrière gewijd aan het bestuderen van oorlogsmisdaden.</w:t>
            </w:r>
          </w:p>
        </w:tc>
        <w:tc>
          <w:tcPr>
            <w:tcW w:w="2127" w:type="dxa"/>
          </w:tcPr>
          <w:p w14:paraId="4AA0B909" w14:textId="77777777" w:rsidR="009B1AC7" w:rsidRDefault="009B1AC7" w:rsidP="001A04BA">
            <w:pPr>
              <w:jc w:val="both"/>
            </w:pPr>
            <w:r>
              <w:lastRenderedPageBreak/>
              <w:t>Ja, het is een genocide</w:t>
            </w:r>
          </w:p>
        </w:tc>
        <w:tc>
          <w:tcPr>
            <w:tcW w:w="2409" w:type="dxa"/>
          </w:tcPr>
          <w:p w14:paraId="12E771B4" w14:textId="77777777" w:rsidR="00D82D0F" w:rsidRDefault="004209B6" w:rsidP="001A04BA">
            <w:pPr>
              <w:jc w:val="both"/>
            </w:pPr>
            <w:r>
              <w:t>Vanaf mei 2024 wijzigde de situatie, duidelijke kenmerke</w:t>
            </w:r>
            <w:r w:rsidR="00D82D0F">
              <w:t xml:space="preserve">n van genocide aanwezig. Na de grootschalige verwoesting van Gaza, de massale verplaatsing van burgers en het hoge aantal doden – waaronder veel vrouwen en kinderen – kon hij er niet meer omheen. Hij stelt dat zowel de intentie als de </w:t>
            </w:r>
            <w:r w:rsidR="00D82D0F">
              <w:lastRenderedPageBreak/>
              <w:t>uitvoering van Israëlische acties voldoen aan de juridische definitie van genocide volgens het Genocideverdrag van 1948.</w:t>
            </w:r>
          </w:p>
          <w:p w14:paraId="5401BB4A" w14:textId="77777777" w:rsidR="009B1AC7" w:rsidRDefault="00D82D0F" w:rsidP="001A04BA">
            <w:pPr>
              <w:jc w:val="both"/>
            </w:pPr>
            <w:r>
              <w:t>Bartov verwijst naar officiële uitspraken van Israëlische leiders die oproepen tot de “totale vernietiging” van Gaza en Palestijnen vergelijken met “menselijke dieren”. Hij noemt ook het systematisch bombarderen van huizen, ziekenhuizen, scholen en waterinstallaties, waardoor het leven in Gaza bijna onmogelijk wordt. Gaza telt volgens hem nu het hoogste aantal kinderen met amputaties per inwoner ter wereld, wat wijst op langdurige fysieke en psychologische schade.</w:t>
            </w:r>
          </w:p>
        </w:tc>
        <w:tc>
          <w:tcPr>
            <w:tcW w:w="2835" w:type="dxa"/>
          </w:tcPr>
          <w:p w14:paraId="617AE8DD" w14:textId="411D56A4" w:rsidR="009B1AC7" w:rsidRDefault="001A04BA" w:rsidP="001A04BA">
            <w:pPr>
              <w:jc w:val="both"/>
            </w:pPr>
            <w:r>
              <w:lastRenderedPageBreak/>
              <w:t>Ja: hij spreekt zich duidelijk uit als academicus, die zijn specifieke familiale en nationale achtergrond ‘aflegt’.</w:t>
            </w:r>
          </w:p>
        </w:tc>
      </w:tr>
      <w:tr w:rsidR="009B1AC7" w14:paraId="33AC131C" w14:textId="77777777" w:rsidTr="00D82D0F">
        <w:tc>
          <w:tcPr>
            <w:tcW w:w="1709" w:type="dxa"/>
          </w:tcPr>
          <w:p w14:paraId="2C0F40CA" w14:textId="77777777" w:rsidR="009B1AC7" w:rsidRDefault="009B1AC7" w:rsidP="001A04BA">
            <w:pPr>
              <w:jc w:val="both"/>
            </w:pPr>
            <w:r>
              <w:t>NOS</w:t>
            </w:r>
          </w:p>
        </w:tc>
        <w:tc>
          <w:tcPr>
            <w:tcW w:w="2119" w:type="dxa"/>
          </w:tcPr>
          <w:p w14:paraId="60355AF3" w14:textId="77777777" w:rsidR="009B1AC7" w:rsidRDefault="001B1229" w:rsidP="001A04BA">
            <w:pPr>
              <w:jc w:val="both"/>
            </w:pPr>
            <w:r>
              <w:t>Nederlandse openbare omroep</w:t>
            </w:r>
          </w:p>
        </w:tc>
        <w:tc>
          <w:tcPr>
            <w:tcW w:w="2127" w:type="dxa"/>
          </w:tcPr>
          <w:p w14:paraId="79EF06BF" w14:textId="77777777" w:rsidR="009B1AC7" w:rsidRDefault="00BA0E65" w:rsidP="001A04BA">
            <w:pPr>
              <w:jc w:val="both"/>
            </w:pPr>
            <w:r>
              <w:t>v</w:t>
            </w:r>
            <w:r w:rsidR="009B1AC7">
              <w:t>oorzichtig gebruik van begrip genocide</w:t>
            </w:r>
          </w:p>
        </w:tc>
        <w:tc>
          <w:tcPr>
            <w:tcW w:w="2409" w:type="dxa"/>
          </w:tcPr>
          <w:p w14:paraId="61E2D1DC" w14:textId="77777777" w:rsidR="009B1AC7" w:rsidRDefault="00BA0E65" w:rsidP="001A04BA">
            <w:pPr>
              <w:jc w:val="both"/>
            </w:pPr>
            <w:r w:rsidRPr="00BA0E65">
              <w:t>genocide is en blijft een beladen en primair juridische term d</w:t>
            </w:r>
            <w:r>
              <w:t>i</w:t>
            </w:r>
            <w:r w:rsidRPr="00BA0E65">
              <w:t>e je niet zomaar kunt inzetten</w:t>
            </w:r>
            <w:r>
              <w:t>,</w:t>
            </w:r>
          </w:p>
          <w:p w14:paraId="5599C428" w14:textId="77777777" w:rsidR="00BA0E65" w:rsidRDefault="00BA0E65" w:rsidP="001A04BA">
            <w:pPr>
              <w:jc w:val="both"/>
            </w:pPr>
            <w:r>
              <w:t>ondertussen is situatie op terrein  veranderd, maar nog geen lichtzinnig gebruik van genocide</w:t>
            </w:r>
          </w:p>
        </w:tc>
        <w:tc>
          <w:tcPr>
            <w:tcW w:w="2835" w:type="dxa"/>
          </w:tcPr>
          <w:p w14:paraId="07070734" w14:textId="77777777" w:rsidR="009B1AC7" w:rsidRDefault="009B1AC7" w:rsidP="001A04BA">
            <w:pPr>
              <w:jc w:val="both"/>
            </w:pPr>
            <w:r>
              <w:t xml:space="preserve">Als publieke omroep moet NOS </w:t>
            </w:r>
            <w:r w:rsidR="00BA0E65">
              <w:t xml:space="preserve">instaan voor onafhankelijke verslaggeving </w:t>
            </w:r>
            <w:r>
              <w:t xml:space="preserve"> en juridische termen zorgvuldig hanteren.</w:t>
            </w:r>
          </w:p>
        </w:tc>
      </w:tr>
      <w:tr w:rsidR="009B1AC7" w14:paraId="48E836B5" w14:textId="77777777" w:rsidTr="00D82D0F">
        <w:tc>
          <w:tcPr>
            <w:tcW w:w="1709" w:type="dxa"/>
          </w:tcPr>
          <w:p w14:paraId="6B65DC01" w14:textId="77777777" w:rsidR="009B1AC7" w:rsidRDefault="001B1229" w:rsidP="001A04BA">
            <w:pPr>
              <w:jc w:val="both"/>
            </w:pPr>
            <w:r>
              <w:t>…</w:t>
            </w:r>
          </w:p>
        </w:tc>
        <w:tc>
          <w:tcPr>
            <w:tcW w:w="2119" w:type="dxa"/>
          </w:tcPr>
          <w:p w14:paraId="3DB61377" w14:textId="77777777" w:rsidR="009B1AC7" w:rsidRDefault="009B1AC7" w:rsidP="001A04BA">
            <w:pPr>
              <w:jc w:val="both"/>
            </w:pPr>
          </w:p>
        </w:tc>
        <w:tc>
          <w:tcPr>
            <w:tcW w:w="2127" w:type="dxa"/>
          </w:tcPr>
          <w:p w14:paraId="0D1594E0" w14:textId="77777777" w:rsidR="009B1AC7" w:rsidRDefault="009B1AC7" w:rsidP="001A04BA">
            <w:pPr>
              <w:jc w:val="both"/>
            </w:pPr>
          </w:p>
        </w:tc>
        <w:tc>
          <w:tcPr>
            <w:tcW w:w="2409" w:type="dxa"/>
          </w:tcPr>
          <w:p w14:paraId="0FFD0449" w14:textId="77777777" w:rsidR="009B1AC7" w:rsidRDefault="009B1AC7" w:rsidP="001A04BA">
            <w:pPr>
              <w:jc w:val="both"/>
            </w:pPr>
          </w:p>
        </w:tc>
        <w:tc>
          <w:tcPr>
            <w:tcW w:w="2835" w:type="dxa"/>
          </w:tcPr>
          <w:p w14:paraId="789A0CC1" w14:textId="77777777" w:rsidR="009B1AC7" w:rsidRDefault="009B1AC7" w:rsidP="001A04BA">
            <w:pPr>
              <w:jc w:val="both"/>
            </w:pPr>
          </w:p>
        </w:tc>
      </w:tr>
    </w:tbl>
    <w:p w14:paraId="0F879B7E" w14:textId="77777777" w:rsidR="009B1AC7" w:rsidRDefault="009B1AC7" w:rsidP="001A04BA">
      <w:pPr>
        <w:jc w:val="both"/>
      </w:pPr>
    </w:p>
    <w:p w14:paraId="6064ED2A" w14:textId="77777777" w:rsidR="00430DC3" w:rsidRPr="00430DC3" w:rsidRDefault="00430DC3" w:rsidP="001A04BA">
      <w:pPr>
        <w:jc w:val="both"/>
      </w:pPr>
    </w:p>
    <w:sectPr w:rsidR="00430DC3" w:rsidRPr="00430DC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B5463" w14:textId="77777777" w:rsidR="008D5DED" w:rsidRDefault="008D5DED" w:rsidP="00452D77">
      <w:pPr>
        <w:spacing w:after="0" w:line="240" w:lineRule="auto"/>
      </w:pPr>
      <w:r>
        <w:separator/>
      </w:r>
    </w:p>
  </w:endnote>
  <w:endnote w:type="continuationSeparator" w:id="0">
    <w:p w14:paraId="2728B2BE" w14:textId="77777777" w:rsidR="008D5DED" w:rsidRDefault="008D5DED" w:rsidP="0045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710622"/>
      <w:docPartObj>
        <w:docPartGallery w:val="Page Numbers (Bottom of Page)"/>
        <w:docPartUnique/>
      </w:docPartObj>
    </w:sdtPr>
    <w:sdtEndPr>
      <w:rPr>
        <w:sz w:val="16"/>
      </w:rPr>
    </w:sdtEndPr>
    <w:sdtContent>
      <w:p w14:paraId="4B798F0F" w14:textId="613F8E2E" w:rsidR="00452D77" w:rsidRPr="00161E96" w:rsidRDefault="00452D77">
        <w:pPr>
          <w:pStyle w:val="Voettekst"/>
          <w:jc w:val="right"/>
          <w:rPr>
            <w:sz w:val="16"/>
          </w:rPr>
        </w:pPr>
        <w:r w:rsidRPr="00161E96">
          <w:rPr>
            <w:sz w:val="16"/>
          </w:rPr>
          <w:fldChar w:fldCharType="begin"/>
        </w:r>
        <w:r w:rsidRPr="00161E96">
          <w:rPr>
            <w:sz w:val="16"/>
          </w:rPr>
          <w:instrText>PAGE   \* MERGEFORMAT</w:instrText>
        </w:r>
        <w:r w:rsidRPr="00161E96">
          <w:rPr>
            <w:sz w:val="16"/>
          </w:rPr>
          <w:fldChar w:fldCharType="separate"/>
        </w:r>
        <w:r w:rsidR="00161E96" w:rsidRPr="00161E96">
          <w:rPr>
            <w:noProof/>
            <w:sz w:val="16"/>
            <w:lang w:val="nl-NL"/>
          </w:rPr>
          <w:t>2</w:t>
        </w:r>
        <w:r w:rsidRPr="00161E96">
          <w:rPr>
            <w:sz w:val="16"/>
          </w:rPr>
          <w:fldChar w:fldCharType="end"/>
        </w:r>
      </w:p>
    </w:sdtContent>
  </w:sdt>
  <w:p w14:paraId="4DB2ED55" w14:textId="77777777" w:rsidR="00452D77" w:rsidRDefault="00452D7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A81E6" w14:textId="77777777" w:rsidR="008D5DED" w:rsidRDefault="008D5DED" w:rsidP="00452D77">
      <w:pPr>
        <w:spacing w:after="0" w:line="240" w:lineRule="auto"/>
      </w:pPr>
      <w:r>
        <w:separator/>
      </w:r>
    </w:p>
  </w:footnote>
  <w:footnote w:type="continuationSeparator" w:id="0">
    <w:p w14:paraId="517AA1F9" w14:textId="77777777" w:rsidR="008D5DED" w:rsidRDefault="008D5DED" w:rsidP="00452D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D2CAE"/>
    <w:multiLevelType w:val="hybridMultilevel"/>
    <w:tmpl w:val="B1EC3A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689431B"/>
    <w:multiLevelType w:val="hybridMultilevel"/>
    <w:tmpl w:val="BA38A37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0DD5C57"/>
    <w:multiLevelType w:val="hybridMultilevel"/>
    <w:tmpl w:val="EDEE4FA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6D465825"/>
    <w:multiLevelType w:val="hybridMultilevel"/>
    <w:tmpl w:val="3634E162"/>
    <w:lvl w:ilvl="0" w:tplc="261C6AA8">
      <w:start w:val="3"/>
      <w:numFmt w:val="bullet"/>
      <w:lvlText w:val="-"/>
      <w:lvlJc w:val="left"/>
      <w:pPr>
        <w:ind w:left="405" w:hanging="360"/>
      </w:pPr>
      <w:rPr>
        <w:rFonts w:ascii="Calibri" w:eastAsiaTheme="minorHAnsi" w:hAnsi="Calibri" w:cs="Calibri" w:hint="default"/>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6F5"/>
    <w:rsid w:val="00131E53"/>
    <w:rsid w:val="00137E3F"/>
    <w:rsid w:val="00161E96"/>
    <w:rsid w:val="001A04BA"/>
    <w:rsid w:val="001B1229"/>
    <w:rsid w:val="003B719D"/>
    <w:rsid w:val="003E4C50"/>
    <w:rsid w:val="004209B6"/>
    <w:rsid w:val="00430DC3"/>
    <w:rsid w:val="00452D77"/>
    <w:rsid w:val="00611EEB"/>
    <w:rsid w:val="00704FED"/>
    <w:rsid w:val="00711964"/>
    <w:rsid w:val="008D5DED"/>
    <w:rsid w:val="008F26F5"/>
    <w:rsid w:val="009B1AC7"/>
    <w:rsid w:val="00A07BAE"/>
    <w:rsid w:val="00B149AF"/>
    <w:rsid w:val="00BA0E65"/>
    <w:rsid w:val="00CA49A7"/>
    <w:rsid w:val="00CD052C"/>
    <w:rsid w:val="00D82D0F"/>
    <w:rsid w:val="00E003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83DC"/>
  <w15:chartTrackingRefBased/>
  <w15:docId w15:val="{F4BD0F84-6543-48A2-9D8D-799B6C35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F26F5"/>
    <w:rPr>
      <w:color w:val="0563C1" w:themeColor="hyperlink"/>
      <w:u w:val="single"/>
    </w:rPr>
  </w:style>
  <w:style w:type="paragraph" w:customStyle="1" w:styleId="break-words">
    <w:name w:val="break-words"/>
    <w:basedOn w:val="Standaard"/>
    <w:rsid w:val="008F26F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rsid w:val="00430DC3"/>
    <w:pPr>
      <w:ind w:left="720"/>
      <w:contextualSpacing/>
    </w:pPr>
  </w:style>
  <w:style w:type="table" w:styleId="Tabelraster">
    <w:name w:val="Table Grid"/>
    <w:basedOn w:val="Standaardtabel"/>
    <w:uiPriority w:val="39"/>
    <w:rsid w:val="009B1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1B1229"/>
    <w:pPr>
      <w:spacing w:line="240" w:lineRule="auto"/>
    </w:pPr>
    <w:rPr>
      <w:rFonts w:ascii="Calibri" w:eastAsia="Calibri" w:hAnsi="Calibri" w:cs="Calibri"/>
      <w:sz w:val="20"/>
      <w:szCs w:val="20"/>
      <w:lang w:eastAsia="nl-BE"/>
    </w:rPr>
  </w:style>
  <w:style w:type="character" w:customStyle="1" w:styleId="TekstopmerkingChar">
    <w:name w:val="Tekst opmerking Char"/>
    <w:basedOn w:val="Standaardalinea-lettertype"/>
    <w:link w:val="Tekstopmerking"/>
    <w:uiPriority w:val="99"/>
    <w:rsid w:val="001B1229"/>
    <w:rPr>
      <w:rFonts w:ascii="Calibri" w:eastAsia="Calibri" w:hAnsi="Calibri" w:cs="Calibri"/>
      <w:sz w:val="20"/>
      <w:szCs w:val="20"/>
      <w:lang w:eastAsia="nl-BE"/>
    </w:rPr>
  </w:style>
  <w:style w:type="character" w:styleId="GevolgdeHyperlink">
    <w:name w:val="FollowedHyperlink"/>
    <w:basedOn w:val="Standaardalinea-lettertype"/>
    <w:uiPriority w:val="99"/>
    <w:semiHidden/>
    <w:unhideWhenUsed/>
    <w:rsid w:val="001B1229"/>
    <w:rPr>
      <w:color w:val="954F72" w:themeColor="followedHyperlink"/>
      <w:u w:val="single"/>
    </w:rPr>
  </w:style>
  <w:style w:type="paragraph" w:styleId="Revisie">
    <w:name w:val="Revision"/>
    <w:hidden/>
    <w:uiPriority w:val="99"/>
    <w:semiHidden/>
    <w:rsid w:val="001A04BA"/>
    <w:pPr>
      <w:spacing w:after="0" w:line="240" w:lineRule="auto"/>
    </w:pPr>
  </w:style>
  <w:style w:type="paragraph" w:styleId="Ballontekst">
    <w:name w:val="Balloon Text"/>
    <w:basedOn w:val="Standaard"/>
    <w:link w:val="BallontekstChar"/>
    <w:uiPriority w:val="99"/>
    <w:semiHidden/>
    <w:unhideWhenUsed/>
    <w:rsid w:val="00A07BA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07BAE"/>
    <w:rPr>
      <w:rFonts w:ascii="Segoe UI" w:hAnsi="Segoe UI" w:cs="Segoe UI"/>
      <w:sz w:val="18"/>
      <w:szCs w:val="18"/>
    </w:rPr>
  </w:style>
  <w:style w:type="paragraph" w:styleId="Koptekst">
    <w:name w:val="header"/>
    <w:basedOn w:val="Standaard"/>
    <w:link w:val="KoptekstChar"/>
    <w:uiPriority w:val="99"/>
    <w:unhideWhenUsed/>
    <w:rsid w:val="00452D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2D77"/>
  </w:style>
  <w:style w:type="paragraph" w:styleId="Voettekst">
    <w:name w:val="footer"/>
    <w:basedOn w:val="Standaard"/>
    <w:link w:val="VoettekstChar"/>
    <w:uiPriority w:val="99"/>
    <w:unhideWhenUsed/>
    <w:rsid w:val="00452D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8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r.nos.nl/nieuws/waarom-en-wanneer-de-nos-spreekt-van-genocidaal-geweld-in-gaz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vrt.be/vrtnws/nl/2023/11/26/kijkers-stellen-vragen-aan-premier-de-cro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ytimes.com/2025/07/15/opinion/israel-gaza-holocaust-genocide-palestinians.html"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4EFAB48BED54B8C96562ADA60309B" ma:contentTypeVersion="18" ma:contentTypeDescription="Create a new document." ma:contentTypeScope="" ma:versionID="de665f0ada32f221ac0e95781f46574c">
  <xsd:schema xmlns:xsd="http://www.w3.org/2001/XMLSchema" xmlns:xs="http://www.w3.org/2001/XMLSchema" xmlns:p="http://schemas.microsoft.com/office/2006/metadata/properties" xmlns:ns2="c2a6df4e-4bb5-4edf-be4a-544efd78b3c2" xmlns:ns3="5e40aeda-8759-44eb-9a5a-39b5ea474412" xmlns:ns4="9043eea9-c6a2-41bd-a216-33d45f9f09e1" targetNamespace="http://schemas.microsoft.com/office/2006/metadata/properties" ma:root="true" ma:fieldsID="1e77214fb01e80b2aa63346321ff457b" ns2:_="" ns3:_="" ns4:_="">
    <xsd:import namespace="c2a6df4e-4bb5-4edf-be4a-544efd78b3c2"/>
    <xsd:import namespace="5e40aeda-8759-44eb-9a5a-39b5ea474412"/>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6df4e-4bb5-4edf-be4a-544efd78b3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0aeda-8759-44eb-9a5a-39b5ea4744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ed821e-3719-4d89-b7d3-d96e4ea12e44}" ma:internalName="TaxCatchAll" ma:showField="CatchAllData" ma:web="5e40aeda-8759-44eb-9a5a-39b5ea474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a6df4e-4bb5-4edf-be4a-544efd78b3c2">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F1EB6DD6-A139-4D4B-BC24-102E78FCDE7C}"/>
</file>

<file path=customXml/itemProps2.xml><?xml version="1.0" encoding="utf-8"?>
<ds:datastoreItem xmlns:ds="http://schemas.openxmlformats.org/officeDocument/2006/customXml" ds:itemID="{AF4FF618-064E-499D-BDB1-59DB423A7768}"/>
</file>

<file path=customXml/itemProps3.xml><?xml version="1.0" encoding="utf-8"?>
<ds:datastoreItem xmlns:ds="http://schemas.openxmlformats.org/officeDocument/2006/customXml" ds:itemID="{F9F5B457-02A9-4323-B83E-166E84C307BF}"/>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3050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Cynthia</cp:lastModifiedBy>
  <cp:revision>2</cp:revision>
  <dcterms:created xsi:type="dcterms:W3CDTF">2025-10-11T11:33:00Z</dcterms:created>
  <dcterms:modified xsi:type="dcterms:W3CDTF">2025-10-11T11:33:00Z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0x0101009514EFAB48BED54B8C96562ADA60309B</vt:lpwstr>
  </property>
</Properties>
</file>